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8"/>
        </w:rPr>
        <w:t>LETRA DE CAMBIO</w:t>
      </w:r>
    </w:p>
    <w:p>
      <w:pPr>
        <w:spacing w:after="120"/>
      </w:pPr>
      <w:r>
        <w:t>Ecuador · Vencimiento a día fijo</w:t>
      </w:r>
    </w:p>
    <w:p>
      <w:pPr>
        <w:spacing w:after="120"/>
      </w:pPr>
      <w:r>
        <w:rPr>
          <w:b/>
        </w:rPr>
        <w:t>FORMATO VACÍO</w:t>
      </w:r>
    </w:p>
    <w:p>
      <w:pPr>
        <w:spacing w:after="180"/>
      </w:pPr>
      <w:r>
        <w:t>Por esta letra de cambio, ordeno al librado identificado pagar incondicionalmente a la orden del beneficiario indicado la cantidad y moneda consignadas, en el vencimiento y lugar de pago señalados.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696"/>
      </w:tblGrid>
      <w:tr>
        <w:trPr>
          <w:trHeight w:val="880"/>
          <w:cantSplit/>
        </w:trPr>
        <w:tc>
          <w:tcPr>
            <w:tcW w:type="dxa" w:w="3672"/>
          </w:tcPr>
          <w:p>
            <w:r>
              <w:rPr>
                <w:b/>
              </w:rPr>
              <w:t>01. Lugar y fecha de emisión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02. Librado o girado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03. Beneficiario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04. Cantidad en cifras y moneda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05. Cantidad y moneda en letras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06. Fecha de vencimiento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07. Lugar de pago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08. Librador o girador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09. Firma del librador o girador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t>ACEPTACIÓN</w:t>
              <w:br/>
              <w:t>10. Fecha de aceptación</w:t>
            </w:r>
          </w:p>
        </w:tc>
        <w:tc>
          <w:tcPr>
            <w:tcW w:type="dxa" w:w="6696"/>
          </w:tcPr>
          <w:p>
            <w:r/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11. Aceptación: firma del librado</w:t>
            </w:r>
          </w:p>
        </w:tc>
        <w:tc>
          <w:tcPr>
            <w:tcW w:type="dxa" w:w="6696"/>
          </w:tcPr>
          <w:p>
            <w:r/>
          </w:p>
        </w:tc>
      </w:tr>
    </w:tbl>
    <w:p>
      <w:pPr>
        <w:spacing w:before="160"/>
      </w:pPr>
      <w:r>
        <w:rPr>
          <w:sz w:val="16"/>
        </w:rPr>
        <w:t>letradecambio.net · Ecuador · Diseño 25/10/2026 · Modelo en revisión: no usar en operaciones reales.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Letra de cambio de Ecuador — formato vacío</dc:title>
  <dc:subject>Caso EC-P1-001; modelo educativo en revisión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